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91361B">
      <w:pPr>
        <w:jc w:val="center"/>
        <w:rPr>
          <w:rFonts w:hint="eastAsia"/>
          <w:b/>
          <w:bCs/>
          <w:sz w:val="30"/>
          <w:szCs w:val="30"/>
          <w:lang w:val="en-US" w:eastAsia="zh-CN"/>
        </w:rPr>
      </w:pPr>
      <w:r>
        <w:rPr>
          <w:rFonts w:hint="eastAsia"/>
          <w:b/>
          <w:bCs/>
          <w:sz w:val="30"/>
          <w:szCs w:val="30"/>
          <w:lang w:val="en-US" w:eastAsia="zh-CN"/>
        </w:rPr>
        <w:t>采购需求（1包）</w:t>
      </w:r>
    </w:p>
    <w:p w14:paraId="5F545F71">
      <w:pPr>
        <w:keepNext w:val="0"/>
        <w:keepLines w:val="0"/>
        <w:widowControl/>
        <w:suppressLineNumbers w:val="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项目名称：2025-2026年度三亚游艇旅游中心及游艇旅游综合服务平台项目运营 </w:t>
      </w:r>
    </w:p>
    <w:p w14:paraId="7C60DA5A">
      <w:pPr>
        <w:keepNext w:val="0"/>
        <w:keepLines w:val="0"/>
        <w:widowControl/>
        <w:suppressLineNumbers w:val="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kern w:val="2"/>
          <w:sz w:val="24"/>
          <w:szCs w:val="24"/>
          <w:lang w:val="en-US" w:eastAsia="zh-CN" w:bidi="ar-SA"/>
        </w:rPr>
        <w:t>项目编号：HNJY2025-86-11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8"/>
        <w:gridCol w:w="1268"/>
        <w:gridCol w:w="6546"/>
      </w:tblGrid>
      <w:tr w14:paraId="0AA39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16" w:hRule="atLeast"/>
        </w:trPr>
        <w:tc>
          <w:tcPr>
            <w:tcW w:w="708" w:type="dxa"/>
            <w:vAlign w:val="center"/>
          </w:tcPr>
          <w:p w14:paraId="45223E50">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68" w:type="dxa"/>
            <w:vAlign w:val="center"/>
          </w:tcPr>
          <w:p w14:paraId="6AC77CC0">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参数性质</w:t>
            </w:r>
          </w:p>
        </w:tc>
        <w:tc>
          <w:tcPr>
            <w:tcW w:w="6546" w:type="dxa"/>
            <w:vAlign w:val="center"/>
          </w:tcPr>
          <w:p w14:paraId="3323370E">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技术参数与性能指标</w:t>
            </w:r>
          </w:p>
        </w:tc>
      </w:tr>
      <w:tr w14:paraId="77CB3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8" w:type="dxa"/>
            <w:vAlign w:val="center"/>
          </w:tcPr>
          <w:p w14:paraId="1616A262">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68" w:type="dxa"/>
            <w:vAlign w:val="center"/>
          </w:tcPr>
          <w:p w14:paraId="6F59A9FB">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c>
          <w:tcPr>
            <w:tcW w:w="6546" w:type="dxa"/>
          </w:tcPr>
          <w:p w14:paraId="5852341F">
            <w:pPr>
              <w:pStyle w:val="5"/>
              <w:spacing w:line="530" w:lineRule="exact"/>
              <w:ind w:left="643" w:firstLine="0" w:firstLineChars="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一、项目建设规模及内容布局</w:t>
            </w:r>
          </w:p>
          <w:p w14:paraId="39D2A1A4">
            <w:pPr>
              <w:pStyle w:val="5"/>
              <w:spacing w:line="530" w:lineRule="exact"/>
              <w:ind w:firstLine="643"/>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建设规模：中心建筑层数地上3层，无地下室，为多层公共建筑。规划用地面积约2002平方米，占地面积1355平方米，建筑面积3191.13平方米，根据政府对三亚游艇旅游中心运营管理的要求，政府租赁中心一层大厅、医务室（面积为：351.54平方米）和二层除三亚游艇旅游综合服务平台外的其他所有区域（含展厅、办公室、会议室、卫生间等，面积为：723.92平方米），租赁面积共计1075.46平方米。</w:t>
            </w:r>
          </w:p>
          <w:p w14:paraId="54DA91E3">
            <w:pPr>
              <w:spacing w:line="530" w:lineRule="exact"/>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功能布局：中心一层主要是提供游艇旅游公共服务。包括游艇旅游咨询与旅游产品展示；登艇前的安全教育与安全检查；人脸核验以及旅游消费后的意见建议反馈及维权服务支持等。同时还提供游艇旅游配套服务，如简易医疗卫生配套服务，暂时存包服务、自助贩卖服务</w:t>
            </w:r>
            <w:r>
              <w:rPr>
                <w:rFonts w:hint="eastAsia" w:asciiTheme="minorEastAsia" w:hAnsiTheme="minorEastAsia" w:eastAsiaTheme="minorEastAsia" w:cstheme="minorEastAsia"/>
                <w:sz w:val="24"/>
                <w:szCs w:val="24"/>
                <w:lang w:val="en-US" w:eastAsia="zh-CN"/>
              </w:rPr>
              <w:t>、热水提供</w:t>
            </w:r>
            <w:r>
              <w:rPr>
                <w:rFonts w:hint="eastAsia" w:asciiTheme="minorEastAsia" w:hAnsiTheme="minorEastAsia" w:eastAsiaTheme="minorEastAsia" w:cstheme="minorEastAsia"/>
                <w:sz w:val="24"/>
                <w:szCs w:val="24"/>
                <w:lang w:val="en-US" w:eastAsia="zh-Hans"/>
              </w:rPr>
              <w:t>等，旨在为游客提供更加多元、优质和贴心的公共服务。</w:t>
            </w:r>
          </w:p>
          <w:p w14:paraId="2C779884">
            <w:pPr>
              <w:spacing w:line="53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Hans"/>
              </w:rPr>
              <w:t>中心二层主要是游艇产业发展及游艇文化展示，通过多媒体技术，打造展现海南游艇产业发展和百年渔港文化历程的行业特色展厅。</w:t>
            </w:r>
            <w:r>
              <w:rPr>
                <w:rFonts w:hint="eastAsia" w:asciiTheme="minorEastAsia" w:hAnsiTheme="minorEastAsia" w:eastAsiaTheme="minorEastAsia" w:cstheme="minorEastAsia"/>
                <w:sz w:val="24"/>
                <w:szCs w:val="24"/>
                <w:lang w:val="en-US" w:eastAsia="zh-CN"/>
              </w:rPr>
              <w:t>充分利用二层场地，面向广大游客及市民开展各种丰富多彩的海洋及游艇主题活动，宣传三亚游艇文化及海洋保护重要性。</w:t>
            </w:r>
          </w:p>
          <w:p w14:paraId="3D754546">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二、中心公共部分职能定位</w:t>
            </w:r>
          </w:p>
          <w:p w14:paraId="5C274DDB">
            <w:pPr>
              <w:ind w:firstLine="64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中心公共部分定位：中心是政府游艇旅游公共服务机构，具有公共产品性质。项目运营后可作为三亚市散客旅游综合服务体系的重要组成部分，与游船旅游中心和未来邮轮旅游中心形成独具三亚特色的海洋旅游公共服务重要支撑。</w:t>
            </w:r>
          </w:p>
          <w:p w14:paraId="47DE25B0">
            <w:pPr>
              <w:ind w:firstLine="64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2、中心公共部分日常运营管理模式：</w:t>
            </w:r>
          </w:p>
          <w:p w14:paraId="2A6FCF99">
            <w:pPr>
              <w:autoSpaceDE w:val="0"/>
              <w:autoSpaceDN w:val="0"/>
              <w:adjustRightInd w:val="0"/>
              <w:spacing w:line="520" w:lineRule="exact"/>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采用“政府主导+企业运营”的多元综合联动供给模式。市旅文局作为业主单位，购买第三方公司关于三亚游艇旅游中心公共部分运营管理服务。市旅文局负责指导、协调、监督三亚游艇旅游中心的整体运营管理工作；第三方公司联系交通局、海事局、海岸警察等完成相关工作。</w:t>
            </w:r>
          </w:p>
          <w:p w14:paraId="7F824D5A">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三、围绕中心公共部分内容布局和日常运营管理模式，拟定中心六大运营管理服务职能。</w:t>
            </w:r>
          </w:p>
          <w:p w14:paraId="317BC518">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drawing>
                <wp:inline distT="0" distB="0" distL="114300" distR="114300">
                  <wp:extent cx="3743960" cy="2451735"/>
                  <wp:effectExtent l="0" t="0" r="8890"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4"/>
                          <a:stretch>
                            <a:fillRect/>
                          </a:stretch>
                        </pic:blipFill>
                        <pic:spPr>
                          <a:xfrm>
                            <a:off x="0" y="0"/>
                            <a:ext cx="3743960" cy="2451735"/>
                          </a:xfrm>
                          <a:prstGeom prst="rect">
                            <a:avLst/>
                          </a:prstGeom>
                          <a:noFill/>
                          <a:ln>
                            <a:noFill/>
                          </a:ln>
                        </pic:spPr>
                      </pic:pic>
                    </a:graphicData>
                  </a:graphic>
                </wp:inline>
              </w:drawing>
            </w:r>
          </w:p>
          <w:p w14:paraId="46EBA9B8">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（一）游艇旅游目的地形象展示功能</w:t>
            </w:r>
          </w:p>
          <w:p w14:paraId="45B605FC">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通过打造游艇产业发展及文化展厅，展示三亚城市形象和游艇产业发展及文化；合理开发利用和保护三亚游艇文化资源，营造三亚独特的游艇人文环境。</w:t>
            </w:r>
          </w:p>
          <w:p w14:paraId="52E43C13">
            <w:pPr>
              <w:pStyle w:val="6"/>
              <w:ind w:left="64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（二）游艇旅游政策宣导和行业推介功能</w:t>
            </w:r>
          </w:p>
          <w:p w14:paraId="13F55B43">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1、根据主管部门指导，推广宣传游艇旅游产业发展相关的政策措施条例、配合进行游艇及相关旅游产业的引导、进行相应的管理调度。</w:t>
            </w:r>
          </w:p>
          <w:p w14:paraId="776F6D59">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2、联合行业协会，线上线下引导游艇旅游产品的营销、促销以及游艇旅游产业相关项目的宣传推介。</w:t>
            </w:r>
          </w:p>
          <w:p w14:paraId="1A272373">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（三）游艇旅游信息咨询、投诉和行业信息公告功能</w:t>
            </w:r>
          </w:p>
          <w:p w14:paraId="1BCEE0B1">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1、中心前台咨询处发放游艇旅游产品宣传物、行业信息公告通知、游艇出海安全须知。</w:t>
            </w:r>
          </w:p>
          <w:p w14:paraId="3FC6C7CC">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w:t>
            </w:r>
            <w:r>
              <w:rPr>
                <w:rFonts w:hint="eastAsia" w:asciiTheme="minorEastAsia" w:hAnsiTheme="minorEastAsia" w:eastAsiaTheme="minorEastAsia" w:cstheme="minorEastAsia"/>
                <w:sz w:val="24"/>
                <w:szCs w:val="24"/>
                <w:lang w:val="en-US" w:eastAsia="zh-CN"/>
              </w:rPr>
              <w:t>接待</w:t>
            </w:r>
            <w:r>
              <w:rPr>
                <w:rFonts w:hint="eastAsia" w:asciiTheme="minorEastAsia" w:hAnsiTheme="minorEastAsia" w:eastAsiaTheme="minorEastAsia" w:cstheme="minorEastAsia"/>
                <w:sz w:val="24"/>
                <w:szCs w:val="24"/>
                <w:lang w:val="en-US" w:eastAsia="zh-Hans"/>
              </w:rPr>
              <w:t>问询以及</w:t>
            </w:r>
            <w:r>
              <w:rPr>
                <w:rFonts w:hint="eastAsia" w:asciiTheme="minorEastAsia" w:hAnsiTheme="minorEastAsia" w:eastAsiaTheme="minorEastAsia" w:cstheme="minorEastAsia"/>
                <w:sz w:val="24"/>
                <w:szCs w:val="24"/>
                <w:lang w:val="en-US" w:eastAsia="zh-CN"/>
              </w:rPr>
              <w:t>设置</w:t>
            </w:r>
            <w:r>
              <w:rPr>
                <w:rFonts w:hint="eastAsia" w:asciiTheme="minorEastAsia" w:hAnsiTheme="minorEastAsia" w:eastAsiaTheme="minorEastAsia" w:cstheme="minorEastAsia"/>
                <w:sz w:val="24"/>
                <w:szCs w:val="24"/>
                <w:lang w:val="en-US" w:eastAsia="zh-Hans"/>
              </w:rPr>
              <w:t>投诉热线电话。</w:t>
            </w:r>
          </w:p>
          <w:p w14:paraId="13A43EDB">
            <w:pPr>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3、游艇俱乐部等游艇商家服务：三亚备案游艇俱乐部信息公示、为游客提供已备案游艇俱乐部的信息咨询服务等。</w:t>
            </w:r>
          </w:p>
          <w:p w14:paraId="4FD8E7FE">
            <w:pPr>
              <w:pStyle w:val="6"/>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 xml:space="preserve"> （四）游艇旅游集散服务功能</w:t>
            </w:r>
          </w:p>
          <w:p w14:paraId="316185BB">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1、游艇维修、保养、补给服务指引。</w:t>
            </w:r>
          </w:p>
          <w:p w14:paraId="2F3578BD">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2、外籍访琼游艇出入境事务咨询、引导服务。</w:t>
            </w:r>
          </w:p>
          <w:p w14:paraId="01B57C5F">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3、通过发挥中心集散功能，提高政府职能部门对游艇旅游动态的综合</w:t>
            </w:r>
            <w:r>
              <w:rPr>
                <w:rFonts w:hint="eastAsia" w:asciiTheme="minorEastAsia" w:hAnsiTheme="minorEastAsia" w:eastAsiaTheme="minorEastAsia" w:cstheme="minorEastAsia"/>
                <w:sz w:val="24"/>
                <w:szCs w:val="24"/>
                <w:lang w:val="en-US" w:eastAsia="zh-CN"/>
              </w:rPr>
              <w:t>管控</w:t>
            </w:r>
            <w:r>
              <w:rPr>
                <w:rFonts w:hint="eastAsia" w:asciiTheme="minorEastAsia" w:hAnsiTheme="minorEastAsia" w:eastAsiaTheme="minorEastAsia" w:cstheme="minorEastAsia"/>
                <w:sz w:val="24"/>
                <w:szCs w:val="24"/>
                <w:lang w:val="en-US" w:eastAsia="zh-Hans"/>
              </w:rPr>
              <w:t>能力，掌握</w:t>
            </w:r>
            <w:r>
              <w:rPr>
                <w:rFonts w:hint="eastAsia" w:asciiTheme="minorEastAsia" w:hAnsiTheme="minorEastAsia" w:eastAsiaTheme="minorEastAsia" w:cstheme="minorEastAsia"/>
                <w:sz w:val="24"/>
                <w:szCs w:val="24"/>
                <w:lang w:val="en-US" w:eastAsia="zh-CN"/>
              </w:rPr>
              <w:t>本</w:t>
            </w:r>
            <w:r>
              <w:rPr>
                <w:rFonts w:hint="eastAsia" w:asciiTheme="minorEastAsia" w:hAnsiTheme="minorEastAsia" w:eastAsiaTheme="minorEastAsia" w:cstheme="minorEastAsia"/>
                <w:sz w:val="24"/>
                <w:szCs w:val="24"/>
                <w:lang w:val="en-US" w:eastAsia="zh-Hans"/>
              </w:rPr>
              <w:t>游艇码头的游客接待量、三亚市场游艇保有量等，为游艇旅游行业提供</w:t>
            </w:r>
            <w:r>
              <w:rPr>
                <w:rFonts w:hint="eastAsia" w:asciiTheme="minorEastAsia" w:hAnsiTheme="minorEastAsia" w:eastAsiaTheme="minorEastAsia" w:cstheme="minorEastAsia"/>
                <w:sz w:val="24"/>
                <w:szCs w:val="24"/>
                <w:lang w:val="en-US" w:eastAsia="zh-CN"/>
              </w:rPr>
              <w:t>准确、有效的</w:t>
            </w:r>
            <w:r>
              <w:rPr>
                <w:rFonts w:hint="eastAsia" w:asciiTheme="minorEastAsia" w:hAnsiTheme="minorEastAsia" w:eastAsiaTheme="minorEastAsia" w:cstheme="minorEastAsia"/>
                <w:sz w:val="24"/>
                <w:szCs w:val="24"/>
                <w:lang w:val="en-US" w:eastAsia="zh-Hans"/>
              </w:rPr>
              <w:t>信息支持。</w:t>
            </w:r>
          </w:p>
          <w:p w14:paraId="1D5DDA9D">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（五）游艇旅游公共接待服务</w:t>
            </w:r>
          </w:p>
          <w:p w14:paraId="3B29C104">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1、设计科学合理的中心讲解线路，向所有来访者展示三亚港口文化和游艇文化。</w:t>
            </w:r>
          </w:p>
          <w:p w14:paraId="518DC877">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2、设置简易医务室、物品存寄、租借管理、终端售卖机</w:t>
            </w:r>
            <w:r>
              <w:rPr>
                <w:rFonts w:hint="eastAsia" w:asciiTheme="minorEastAsia" w:hAnsiTheme="minorEastAsia" w:eastAsiaTheme="minorEastAsia" w:cstheme="minorEastAsia"/>
                <w:sz w:val="24"/>
                <w:szCs w:val="24"/>
                <w:lang w:val="en-US" w:eastAsia="zh-CN"/>
              </w:rPr>
              <w:t>、热水提供</w:t>
            </w:r>
            <w:r>
              <w:rPr>
                <w:rFonts w:hint="eastAsia" w:asciiTheme="minorEastAsia" w:hAnsiTheme="minorEastAsia" w:eastAsiaTheme="minorEastAsia" w:cstheme="minorEastAsia"/>
                <w:sz w:val="24"/>
                <w:szCs w:val="24"/>
                <w:lang w:val="en-US" w:eastAsia="zh-Hans"/>
              </w:rPr>
              <w:t>等公共服务、为来访者提供一站式、多种休闲活动需求的休闲功能。</w:t>
            </w:r>
          </w:p>
          <w:p w14:paraId="45A44EA6">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3、通过良好的物业管理，制定中心环境卫生管理标准，为来访者提供规范、整洁、舒适的公共环境。</w:t>
            </w:r>
          </w:p>
          <w:p w14:paraId="08ADB730">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4、收集游客信息及建议反馈，从服务、设施等方面完善游客中心功能，提高游客满意度。</w:t>
            </w:r>
          </w:p>
          <w:p w14:paraId="05BE23DC">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（六）游艇旅游安全教育服务</w:t>
            </w:r>
          </w:p>
          <w:p w14:paraId="65FF5254">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1、游艇旅游安全预警：旅游安全分析、发布旅游安全信息。</w:t>
            </w:r>
          </w:p>
          <w:p w14:paraId="78F872DE">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2、制定中心突然事件应急管理办法：</w:t>
            </w:r>
          </w:p>
          <w:p w14:paraId="74C33A10">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应急事件包括：火警、停电、发现可疑物件（怀疑是爆炸物）、突然地震、洪水事件、顾客发生意外（急症或受伤）等。</w:t>
            </w:r>
          </w:p>
          <w:p w14:paraId="05D629EE">
            <w:pPr>
              <w:ind w:left="63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四、组织机构设置与职能</w:t>
            </w:r>
          </w:p>
          <w:p w14:paraId="77C7A59D">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为了实现中心公共部分六大运营管理服务内容，拟定中心组织架构和部门职能。中心下设综合保障部和运营服务部两个部门。</w:t>
            </w:r>
          </w:p>
          <w:p w14:paraId="754AD8C9">
            <w:pPr>
              <w:ind w:firstLine="1200" w:firstLineChars="5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三亚游艇旅游中心运营团队组织架构图</w:t>
            </w:r>
          </w:p>
          <w:p w14:paraId="603E53EB">
            <w:pPr>
              <w:ind w:firstLine="1200" w:firstLineChars="5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drawing>
                <wp:anchor distT="0" distB="0" distL="114300" distR="114300" simplePos="0" relativeHeight="251659264" behindDoc="0" locked="0" layoutInCell="1" allowOverlap="1">
                  <wp:simplePos x="0" y="0"/>
                  <wp:positionH relativeFrom="column">
                    <wp:posOffset>185420</wp:posOffset>
                  </wp:positionH>
                  <wp:positionV relativeFrom="paragraph">
                    <wp:posOffset>127635</wp:posOffset>
                  </wp:positionV>
                  <wp:extent cx="3568700" cy="1399540"/>
                  <wp:effectExtent l="0" t="35560" r="0" b="127000"/>
                  <wp:wrapNone/>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anchor>
              </w:drawing>
            </w:r>
          </w:p>
          <w:p w14:paraId="731D21A2">
            <w:pPr>
              <w:ind w:firstLine="1200" w:firstLineChars="500"/>
              <w:rPr>
                <w:rFonts w:hint="eastAsia" w:asciiTheme="minorEastAsia" w:hAnsiTheme="minorEastAsia" w:eastAsiaTheme="minorEastAsia" w:cstheme="minorEastAsia"/>
                <w:sz w:val="24"/>
                <w:szCs w:val="24"/>
                <w:lang w:val="en-US" w:eastAsia="zh-Hans"/>
              </w:rPr>
            </w:pPr>
          </w:p>
          <w:p w14:paraId="2FE2C48F">
            <w:pPr>
              <w:ind w:firstLine="1200" w:firstLineChars="500"/>
              <w:rPr>
                <w:rFonts w:hint="eastAsia" w:asciiTheme="minorEastAsia" w:hAnsiTheme="minorEastAsia" w:eastAsiaTheme="minorEastAsia" w:cstheme="minorEastAsia"/>
                <w:sz w:val="24"/>
                <w:szCs w:val="24"/>
                <w:lang w:val="en-US" w:eastAsia="zh-Hans"/>
              </w:rPr>
            </w:pPr>
          </w:p>
          <w:p w14:paraId="6EBC38D0">
            <w:pPr>
              <w:ind w:firstLine="480" w:firstLineChars="200"/>
              <w:rPr>
                <w:rFonts w:hint="eastAsia" w:asciiTheme="minorEastAsia" w:hAnsiTheme="minorEastAsia" w:eastAsiaTheme="minorEastAsia" w:cstheme="minorEastAsia"/>
                <w:sz w:val="24"/>
                <w:szCs w:val="24"/>
                <w:lang w:val="en-US" w:eastAsia="zh-Hans"/>
              </w:rPr>
            </w:pPr>
          </w:p>
          <w:p w14:paraId="5D6A70F9">
            <w:pPr>
              <w:ind w:firstLine="480" w:firstLineChars="200"/>
              <w:rPr>
                <w:rFonts w:hint="eastAsia" w:asciiTheme="minorEastAsia" w:hAnsiTheme="minorEastAsia" w:eastAsiaTheme="minorEastAsia" w:cstheme="minorEastAsia"/>
                <w:sz w:val="24"/>
                <w:szCs w:val="24"/>
                <w:lang w:val="en-US" w:eastAsia="zh-Hans"/>
              </w:rPr>
            </w:pPr>
          </w:p>
          <w:p w14:paraId="33F1DB0C">
            <w:pPr>
              <w:ind w:firstLine="480" w:firstLineChars="200"/>
              <w:rPr>
                <w:rFonts w:hint="eastAsia" w:asciiTheme="minorEastAsia" w:hAnsiTheme="minorEastAsia" w:eastAsiaTheme="minorEastAsia" w:cstheme="minorEastAsia"/>
                <w:sz w:val="24"/>
                <w:szCs w:val="24"/>
                <w:lang w:val="en-US" w:eastAsia="zh-Hans"/>
              </w:rPr>
            </w:pPr>
          </w:p>
          <w:p w14:paraId="3C5A5EC5">
            <w:pPr>
              <w:ind w:firstLine="480" w:firstLineChars="200"/>
              <w:rPr>
                <w:rFonts w:hint="eastAsia" w:asciiTheme="minorEastAsia" w:hAnsiTheme="minorEastAsia" w:eastAsiaTheme="minorEastAsia" w:cstheme="minorEastAsia"/>
                <w:sz w:val="24"/>
                <w:szCs w:val="24"/>
                <w:lang w:val="en-US" w:eastAsia="zh-Hans"/>
              </w:rPr>
            </w:pPr>
          </w:p>
          <w:p w14:paraId="65ADCEAD">
            <w:pPr>
              <w:ind w:firstLine="480" w:firstLineChars="200"/>
              <w:rPr>
                <w:rFonts w:hint="eastAsia" w:asciiTheme="minorEastAsia" w:hAnsiTheme="minorEastAsia" w:eastAsiaTheme="minorEastAsia" w:cstheme="minorEastAsia"/>
                <w:sz w:val="24"/>
                <w:szCs w:val="24"/>
                <w:lang w:val="en-US" w:eastAsia="zh-Hans"/>
              </w:rPr>
            </w:pPr>
          </w:p>
          <w:p w14:paraId="11C726FD">
            <w:pPr>
              <w:ind w:firstLine="480" w:firstLineChars="200"/>
              <w:rPr>
                <w:rFonts w:hint="eastAsia" w:asciiTheme="minorEastAsia" w:hAnsiTheme="minorEastAsia" w:eastAsiaTheme="minorEastAsia" w:cstheme="minorEastAsia"/>
                <w:sz w:val="24"/>
                <w:szCs w:val="24"/>
                <w:lang w:val="en-US" w:eastAsia="zh-Hans"/>
              </w:rPr>
            </w:pPr>
          </w:p>
          <w:p w14:paraId="2EE12392">
            <w:pPr>
              <w:rPr>
                <w:rFonts w:hint="eastAsia" w:asciiTheme="minorEastAsia" w:hAnsiTheme="minorEastAsia" w:eastAsiaTheme="minorEastAsia" w:cstheme="minorEastAsia"/>
                <w:sz w:val="24"/>
                <w:szCs w:val="24"/>
                <w:lang w:val="en-US" w:eastAsia="zh-Hans"/>
              </w:rPr>
            </w:pPr>
          </w:p>
          <w:p w14:paraId="0B12ABD8">
            <w:pPr>
              <w:pStyle w:val="6"/>
              <w:ind w:firstLine="240" w:firstLineChars="1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（-）综合保障部人员设置和职能概述</w:t>
            </w:r>
          </w:p>
          <w:p w14:paraId="421D0BD1">
            <w:pPr>
              <w:numPr>
                <w:ilvl w:val="-1"/>
                <w:numId w:val="0"/>
              </w:num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Hans"/>
              </w:rPr>
              <w:t>部门职能概述</w:t>
            </w:r>
          </w:p>
          <w:p w14:paraId="0F3ED018">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综合保障部负责中心制度建设、游艇出海业务管理、行政管理、人力资源管理、财务管理、后勤管理以及领导交办的其它事务。</w:t>
            </w:r>
          </w:p>
          <w:p w14:paraId="49F067F9">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Hans"/>
              </w:rPr>
              <w:t>、综合保障部人员设置</w:t>
            </w:r>
          </w:p>
          <w:p w14:paraId="2A795723">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综合保障部设部长1人，事务专员1人，安全专员2人，共4人。</w:t>
            </w:r>
          </w:p>
          <w:p w14:paraId="0CA82D37">
            <w:pPr>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Hans"/>
              </w:rPr>
              <w:t>特别说明：中心的安保、保洁、消防控制工作将采取外包购买服务形式进行管理，由中心主任负责对接外部服务机构</w:t>
            </w:r>
            <w:r>
              <w:rPr>
                <w:rFonts w:hint="eastAsia" w:asciiTheme="minorEastAsia" w:hAnsiTheme="minorEastAsia" w:eastAsiaTheme="minorEastAsia" w:cstheme="minorEastAsia"/>
                <w:sz w:val="24"/>
                <w:szCs w:val="24"/>
                <w:lang w:val="en-US" w:eastAsia="zh-CN"/>
              </w:rPr>
              <w:t>，做好日常服务保障。</w:t>
            </w:r>
          </w:p>
          <w:p w14:paraId="71B9F5D8">
            <w:pPr>
              <w:ind w:firstLine="480" w:firstLineChars="200"/>
              <w:rPr>
                <w:rFonts w:hint="eastAsia" w:asciiTheme="minorEastAsia" w:hAnsiTheme="minorEastAsia" w:eastAsiaTheme="minorEastAsia" w:cstheme="minorEastAsia"/>
                <w:sz w:val="24"/>
                <w:szCs w:val="24"/>
                <w:lang w:val="en-US" w:eastAsia="zh-Hans"/>
              </w:rPr>
            </w:pPr>
          </w:p>
          <w:p w14:paraId="3694CC82">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（二）运营服务部职能及编制说明</w:t>
            </w:r>
          </w:p>
          <w:p w14:paraId="51BED12D">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val="en-US" w:eastAsia="zh-Hans"/>
              </w:rPr>
              <w:t>、部门职能概述</w:t>
            </w:r>
          </w:p>
          <w:p w14:paraId="6D55EEBC">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 xml:space="preserve">运营服务部负责中心所有现场接待工作的落实；统筹协调大厅、安检口、检验口、人员身份核验、监控、人员秩序管理等工作；落实各政府职能部门的监督、指导工作；负责中心二楼vip接待区的合理使用和日常管理工作；负责解答游客旅游咨询工作和散客旅游业务代办；负责游客投诉及求援电话的记录、汇报、反馈；负责医务室管理、快递打包、物品存寄、租借管理工作；负责旅游旺季的值班工作等事宜。 </w:t>
            </w:r>
          </w:p>
          <w:p w14:paraId="68C59131">
            <w:pPr>
              <w:ind w:firstLine="480" w:firstLineChars="200"/>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lang w:val="en-US" w:eastAsia="zh-Hans"/>
              </w:rPr>
              <w:t>、运营服务部人员设置</w:t>
            </w:r>
          </w:p>
          <w:p w14:paraId="4336B6F2">
            <w:pPr>
              <w:ind w:firstLine="480" w:firstLineChars="200"/>
              <w:jc w:val="left"/>
              <w:rPr>
                <w:rFonts w:hint="eastAsia" w:asciiTheme="minorEastAsia" w:hAnsiTheme="minorEastAsia" w:eastAsiaTheme="minorEastAsia" w:cstheme="minorEastAsia"/>
                <w:sz w:val="24"/>
                <w:szCs w:val="24"/>
                <w:lang w:val="en-US" w:eastAsia="zh-Hans"/>
              </w:rPr>
            </w:pPr>
            <w:r>
              <w:rPr>
                <w:rFonts w:hint="eastAsia" w:asciiTheme="minorEastAsia" w:hAnsiTheme="minorEastAsia" w:eastAsiaTheme="minorEastAsia" w:cstheme="minorEastAsia"/>
                <w:sz w:val="24"/>
                <w:szCs w:val="24"/>
                <w:lang w:val="en-US" w:eastAsia="zh-Hans"/>
              </w:rPr>
              <w:t>运营服务部设部长1人，接待专员2人，讲解专员2人，共5人。</w:t>
            </w:r>
          </w:p>
          <w:p w14:paraId="35AFFC4D">
            <w:pPr>
              <w:numPr>
                <w:ilvl w:val="0"/>
                <w:numId w:val="1"/>
              </w:numPr>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经费测算</w:t>
            </w:r>
          </w:p>
          <w:p w14:paraId="21FCD1C1">
            <w:pPr>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中心运营成本由三个方面组成，分别是场地租赁费、运营管理费和展厅运维费用</w:t>
            </w:r>
            <w:bookmarkStart w:id="0" w:name="_GoBack"/>
            <w:bookmarkEnd w:id="0"/>
            <w:r>
              <w:rPr>
                <w:rFonts w:hint="eastAsia" w:asciiTheme="minorEastAsia" w:hAnsiTheme="minorEastAsia" w:eastAsiaTheme="minorEastAsia" w:cstheme="minorEastAsia"/>
                <w:sz w:val="24"/>
                <w:szCs w:val="24"/>
                <w:lang w:val="en-US" w:eastAsia="zh-CN"/>
              </w:rPr>
              <w:t>。</w:t>
            </w:r>
          </w:p>
          <w:p w14:paraId="5FCAB923">
            <w:pPr>
              <w:numPr>
                <w:ilvl w:val="0"/>
                <w:numId w:val="1"/>
              </w:numPr>
              <w:ind w:firstLine="480" w:firstLineChars="20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服务期</w:t>
            </w:r>
          </w:p>
          <w:p w14:paraId="7CBFC6C8">
            <w:pPr>
              <w:pStyle w:val="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服务期：一年</w:t>
            </w:r>
          </w:p>
        </w:tc>
      </w:tr>
    </w:tbl>
    <w:p w14:paraId="449329D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7A50D"/>
    <w:multiLevelType w:val="singleLevel"/>
    <w:tmpl w:val="BAF7A50D"/>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613EBF"/>
    <w:rsid w:val="55613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 w:type="paragraph" w:customStyle="1" w:styleId="5">
    <w:name w:val="列出段落1"/>
    <w:basedOn w:val="1"/>
    <w:qFormat/>
    <w:uiPriority w:val="99"/>
    <w:pPr>
      <w:ind w:firstLine="420" w:firstLineChars="200"/>
    </w:pPr>
    <w:rPr>
      <w:rFonts w:asciiTheme="minorHAnsi" w:hAnsiTheme="minorHAnsi" w:eastAsiaTheme="minorEastAsia" w:cstheme="minorBidi"/>
    </w:rPr>
  </w:style>
  <w:style w:type="paragraph" w:customStyle="1" w:styleId="6">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microsoft.com/office/2007/relationships/diagramDrawing" Target="diagrams/drawing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17B9AAD-24D5-4918-8EDF-B332210074D7}" type="doc">
      <dgm:prSet loTypeId="urn:microsoft.com/office/officeart/2005/8/layout/orgChart1#2" loCatId="hierarchy" qsTypeId="urn:microsoft.com/office/officeart/2005/8/quickstyle/simple5#2" qsCatId="simple" csTypeId="urn:microsoft.com/office/officeart/2005/8/colors/accent1_2#2" csCatId="accent1" phldr="1"/>
      <dgm:spPr/>
      <dgm:t>
        <a:bodyPr/>
        <a:p>
          <a:endParaRPr lang="zh-CN" altLang="en-US"/>
        </a:p>
      </dgm:t>
    </dgm:pt>
    <dgm:pt modelId="{64128110-2BC2-4E83-AE3D-7442626E6916}">
      <dgm:prSet phldrT="[文本]" phldr="0" custT="1"/>
      <dgm:spPr/>
      <dgm:t>
        <a:bodyPr vert="horz" wrap="square"/>
        <a:p>
          <a:pPr>
            <a:lnSpc>
              <a:spcPct val="100000"/>
            </a:lnSpc>
            <a:spcBef>
              <a:spcPct val="0"/>
            </a:spcBef>
            <a:spcAft>
              <a:spcPct val="35000"/>
            </a:spcAft>
          </a:pPr>
          <a:r>
            <a:rPr lang="zh-CN" altLang="en-US" sz="1400"/>
            <a:t>主任（</a:t>
          </a:r>
          <a:r>
            <a:rPr lang="en-US" altLang="zh-CN" sz="1400"/>
            <a:t>1</a:t>
          </a:r>
          <a:r>
            <a:rPr lang="zh-CN" altLang="en-US" sz="1400"/>
            <a:t>人）</a:t>
          </a:r>
        </a:p>
        <a:p>
          <a:pPr>
            <a:lnSpc>
              <a:spcPct val="100000"/>
            </a:lnSpc>
            <a:spcBef>
              <a:spcPct val="0"/>
            </a:spcBef>
            <a:spcAft>
              <a:spcPct val="35000"/>
            </a:spcAft>
          </a:pPr>
          <a:endParaRPr lang="en-US" altLang="zh-CN" sz="1400"/>
        </a:p>
      </dgm:t>
    </dgm:pt>
    <dgm:pt modelId="{7C4D8020-E6A5-42B0-ACC1-F3A6FF2AC2B4}" cxnId="{F7E9AA7F-4D2A-4486-8F2B-E5E881EFAF63}" type="parTrans">
      <dgm:prSet/>
      <dgm:spPr/>
      <dgm:t>
        <a:bodyPr/>
        <a:p>
          <a:endParaRPr lang="zh-CN" altLang="en-US"/>
        </a:p>
      </dgm:t>
    </dgm:pt>
    <dgm:pt modelId="{EC14B256-0355-49D6-9784-F21A5D6A7477}" cxnId="{F7E9AA7F-4D2A-4486-8F2B-E5E881EFAF63}" type="sibTrans">
      <dgm:prSet/>
      <dgm:spPr/>
      <dgm:t>
        <a:bodyPr/>
        <a:p>
          <a:endParaRPr lang="zh-CN" altLang="en-US"/>
        </a:p>
      </dgm:t>
    </dgm:pt>
    <dgm:pt modelId="{225828B5-AAC3-48E3-8DDE-6E14A1E9FCE8}">
      <dgm:prSet phldrT="[文本]" phldr="0" custT="1"/>
      <dgm:spPr/>
      <dgm:t>
        <a:bodyPr vert="horz" wrap="square"/>
        <a:p>
          <a:pPr>
            <a:lnSpc>
              <a:spcPct val="100000"/>
            </a:lnSpc>
            <a:spcBef>
              <a:spcPct val="0"/>
            </a:spcBef>
            <a:spcAft>
              <a:spcPct val="35000"/>
            </a:spcAft>
          </a:pPr>
          <a:endParaRPr lang="en-US" altLang="zh-CN" sz="1400"/>
        </a:p>
        <a:p>
          <a:pPr>
            <a:lnSpc>
              <a:spcPct val="100000"/>
            </a:lnSpc>
            <a:spcBef>
              <a:spcPct val="0"/>
            </a:spcBef>
            <a:spcAft>
              <a:spcPct val="35000"/>
            </a:spcAft>
          </a:pPr>
          <a:r>
            <a:rPr lang="zh-CN" altLang="en-US" sz="1400"/>
            <a:t>运营服务部                      </a:t>
          </a:r>
          <a:r>
            <a:rPr lang="en-US" altLang="zh-CN" sz="1400"/>
            <a:t>(5</a:t>
          </a:r>
          <a:r>
            <a:rPr lang="zh-CN" altLang="en-US" sz="1400"/>
            <a:t>人）</a:t>
          </a:r>
        </a:p>
        <a:p>
          <a:pPr>
            <a:lnSpc>
              <a:spcPct val="100000"/>
            </a:lnSpc>
            <a:spcBef>
              <a:spcPct val="0"/>
            </a:spcBef>
            <a:spcAft>
              <a:spcPct val="35000"/>
            </a:spcAft>
          </a:pPr>
          <a:endParaRPr lang="en-US" altLang="zh-CN" sz="1400"/>
        </a:p>
      </dgm:t>
    </dgm:pt>
    <dgm:pt modelId="{90F8E70F-E1C5-4691-812A-47839830C40B}" cxnId="{0601742B-22B1-496E-BD55-A288AD2D2649}" type="parTrans">
      <dgm:prSet/>
      <dgm:spPr/>
      <dgm:t>
        <a:bodyPr/>
        <a:p>
          <a:endParaRPr lang="zh-CN" altLang="en-US"/>
        </a:p>
      </dgm:t>
    </dgm:pt>
    <dgm:pt modelId="{6E8CAA27-4324-4304-92E5-3562A8011552}" cxnId="{0601742B-22B1-496E-BD55-A288AD2D2649}" type="sibTrans">
      <dgm:prSet/>
      <dgm:spPr/>
      <dgm:t>
        <a:bodyPr/>
        <a:p>
          <a:endParaRPr lang="zh-CN" altLang="en-US"/>
        </a:p>
      </dgm:t>
    </dgm:pt>
    <dgm:pt modelId="{5A40143C-DA00-4700-8E35-C6A457C876ED}">
      <dgm:prSet phldr="0" custT="1"/>
      <dgm:spPr/>
      <dgm:t>
        <a:bodyPr vert="horz" wrap="square"/>
        <a:p>
          <a:pPr>
            <a:lnSpc>
              <a:spcPct val="100000"/>
            </a:lnSpc>
            <a:spcBef>
              <a:spcPct val="0"/>
            </a:spcBef>
            <a:spcAft>
              <a:spcPct val="35000"/>
            </a:spcAft>
          </a:pPr>
          <a:endParaRPr lang="zh-CN" sz="1400"/>
        </a:p>
        <a:p>
          <a:pPr>
            <a:lnSpc>
              <a:spcPct val="100000"/>
            </a:lnSpc>
            <a:spcBef>
              <a:spcPct val="0"/>
            </a:spcBef>
            <a:spcAft>
              <a:spcPct val="35000"/>
            </a:spcAft>
          </a:pPr>
          <a:endParaRPr lang="zh-CN" sz="1400"/>
        </a:p>
        <a:p>
          <a:pPr>
            <a:lnSpc>
              <a:spcPct val="100000"/>
            </a:lnSpc>
            <a:spcBef>
              <a:spcPct val="0"/>
            </a:spcBef>
            <a:spcAft>
              <a:spcPct val="35000"/>
            </a:spcAft>
          </a:pPr>
          <a:endParaRPr lang="zh-CN" sz="1400"/>
        </a:p>
        <a:p>
          <a:pPr>
            <a:lnSpc>
              <a:spcPct val="100000"/>
            </a:lnSpc>
            <a:spcBef>
              <a:spcPct val="0"/>
            </a:spcBef>
            <a:spcAft>
              <a:spcPct val="35000"/>
            </a:spcAft>
          </a:pPr>
          <a:endParaRPr lang="en-US" altLang="zh-CN" sz="1400"/>
        </a:p>
        <a:p>
          <a:pPr>
            <a:lnSpc>
              <a:spcPct val="100000"/>
            </a:lnSpc>
            <a:spcBef>
              <a:spcPct val="0"/>
            </a:spcBef>
            <a:spcAft>
              <a:spcPct val="35000"/>
            </a:spcAft>
          </a:pPr>
          <a:r>
            <a:rPr lang="zh-CN" sz="1400"/>
            <a:t>综合保障部</a:t>
          </a:r>
          <a:r>
            <a:rPr lang="en-US" altLang="zh-CN" sz="1400"/>
            <a:t>                    </a:t>
          </a:r>
          <a:r>
            <a:rPr lang="zh-CN" altLang="en-US" sz="1400"/>
            <a:t>（</a:t>
          </a:r>
          <a:r>
            <a:rPr lang="en-US" altLang="zh-CN" sz="1400"/>
            <a:t>4</a:t>
          </a:r>
          <a:r>
            <a:rPr lang="zh-CN" altLang="en-US" sz="1400"/>
            <a:t>人）</a:t>
          </a:r>
          <a:endParaRPr lang="zh-CN" sz="1400"/>
        </a:p>
        <a:p>
          <a:pPr>
            <a:lnSpc>
              <a:spcPct val="100000"/>
            </a:lnSpc>
            <a:spcBef>
              <a:spcPct val="0"/>
            </a:spcBef>
            <a:spcAft>
              <a:spcPct val="35000"/>
            </a:spcAft>
          </a:pPr>
          <a:endParaRPr sz="6500"/>
        </a:p>
      </dgm:t>
    </dgm:pt>
    <dgm:pt modelId="{CE832094-405D-4753-8C1E-FCC3134B47D2}" cxnId="{0F20D9B6-39F3-454B-B812-9832A022691C}" type="parTrans">
      <dgm:prSet/>
      <dgm:spPr/>
      <dgm:t>
        <a:bodyPr/>
        <a:p>
          <a:endParaRPr lang="zh-CN" altLang="en-US"/>
        </a:p>
      </dgm:t>
    </dgm:pt>
    <dgm:pt modelId="{EC33A87A-6F34-4B76-9DE4-77E420B83737}" cxnId="{0F20D9B6-39F3-454B-B812-9832A022691C}" type="sibTrans">
      <dgm:prSet/>
      <dgm:spPr/>
      <dgm:t>
        <a:bodyPr/>
        <a:p>
          <a:endParaRPr lang="zh-CN" altLang="en-US"/>
        </a:p>
      </dgm:t>
    </dgm:pt>
    <dgm:pt modelId="{0F89BA2F-7FB1-47A4-B6A8-9A821D15E1C1}" type="pres">
      <dgm:prSet presAssocID="{C17B9AAD-24D5-4918-8EDF-B332210074D7}" presName="hierChild1" presStyleCnt="0">
        <dgm:presLayoutVars>
          <dgm:orgChart val="1"/>
          <dgm:chPref val="1"/>
          <dgm:dir val="rev"/>
          <dgm:animOne val="branch"/>
          <dgm:animLvl val="lvl"/>
          <dgm:resizeHandles/>
        </dgm:presLayoutVars>
      </dgm:prSet>
      <dgm:spPr/>
    </dgm:pt>
    <dgm:pt modelId="{43B1D5CD-F6F5-420F-9336-DAB5AE405CAB}" type="pres">
      <dgm:prSet presAssocID="{64128110-2BC2-4E83-AE3D-7442626E6916}" presName="hierRoot1" presStyleCnt="0">
        <dgm:presLayoutVars>
          <dgm:hierBranch val="init"/>
        </dgm:presLayoutVars>
      </dgm:prSet>
      <dgm:spPr/>
    </dgm:pt>
    <dgm:pt modelId="{87C865EB-D9C7-4E5F-B312-83EF73AB58D0}" type="pres">
      <dgm:prSet presAssocID="{64128110-2BC2-4E83-AE3D-7442626E6916}" presName="rootComposite1" presStyleCnt="0"/>
      <dgm:spPr/>
    </dgm:pt>
    <dgm:pt modelId="{3F87A36D-B515-4CB3-9442-512F3C54FBDD}" type="pres">
      <dgm:prSet presAssocID="{64128110-2BC2-4E83-AE3D-7442626E6916}" presName="rootText1" presStyleLbl="node0" presStyleIdx="0" presStyleCnt="1">
        <dgm:presLayoutVars>
          <dgm:chPref val="3"/>
        </dgm:presLayoutVars>
      </dgm:prSet>
      <dgm:spPr/>
    </dgm:pt>
    <dgm:pt modelId="{C8EA578D-1EEF-4168-811C-C3CB6C46B153}" type="pres">
      <dgm:prSet presAssocID="{64128110-2BC2-4E83-AE3D-7442626E6916}" presName="rootConnector1" presStyleLbl="node1" presStyleIdx="0" presStyleCnt="0"/>
      <dgm:spPr/>
    </dgm:pt>
    <dgm:pt modelId="{5BEABAEC-9F0C-4E39-AD8E-6628EFFC11DC}" type="pres">
      <dgm:prSet presAssocID="{64128110-2BC2-4E83-AE3D-7442626E6916}" presName="hierChild2" presStyleCnt="0"/>
      <dgm:spPr/>
    </dgm:pt>
    <dgm:pt modelId="{1F968B94-413B-42AE-BA1D-5E5D1F62B58B}" type="pres">
      <dgm:prSet presAssocID="{90F8E70F-E1C5-4691-812A-47839830C40B}" presName="Name37" presStyleLbl="parChTrans1D2" presStyleIdx="0" presStyleCnt="2"/>
      <dgm:spPr/>
    </dgm:pt>
    <dgm:pt modelId="{841E9607-AFA8-422E-867A-D0B9A43F76FB}" type="pres">
      <dgm:prSet presAssocID="{225828B5-AAC3-48E3-8DDE-6E14A1E9FCE8}" presName="hierRoot2" presStyleCnt="0">
        <dgm:presLayoutVars>
          <dgm:hierBranch/>
        </dgm:presLayoutVars>
      </dgm:prSet>
      <dgm:spPr/>
    </dgm:pt>
    <dgm:pt modelId="{7848FCCC-0559-4207-BA93-63FF4F6D75CC}" type="pres">
      <dgm:prSet presAssocID="{225828B5-AAC3-48E3-8DDE-6E14A1E9FCE8}" presName="rootComposite" presStyleCnt="0"/>
      <dgm:spPr/>
    </dgm:pt>
    <dgm:pt modelId="{2FB69221-32D0-434B-B23D-866F77A6B0EE}" type="pres">
      <dgm:prSet presAssocID="{225828B5-AAC3-48E3-8DDE-6E14A1E9FCE8}" presName="rootText" presStyleLbl="node2" presStyleIdx="0" presStyleCnt="2">
        <dgm:presLayoutVars>
          <dgm:chPref val="3"/>
        </dgm:presLayoutVars>
      </dgm:prSet>
      <dgm:spPr/>
    </dgm:pt>
    <dgm:pt modelId="{5C67B634-DB68-4653-97A5-5D62FE999B47}" type="pres">
      <dgm:prSet presAssocID="{225828B5-AAC3-48E3-8DDE-6E14A1E9FCE8}" presName="rootConnector" presStyleLbl="node2" presStyleIdx="0" presStyleCnt="2"/>
      <dgm:spPr/>
    </dgm:pt>
    <dgm:pt modelId="{A7817FA8-C290-4779-9081-B0B52FF24E56}" type="pres">
      <dgm:prSet presAssocID="{225828B5-AAC3-48E3-8DDE-6E14A1E9FCE8}" presName="hierChild4" presStyleCnt="0"/>
      <dgm:spPr/>
    </dgm:pt>
    <dgm:pt modelId="{782C31C6-F89C-4EE5-9321-5D7AEDFD4677}" type="pres">
      <dgm:prSet presAssocID="{225828B5-AAC3-48E3-8DDE-6E14A1E9FCE8}" presName="hierChild5" presStyleCnt="0"/>
      <dgm:spPr/>
    </dgm:pt>
    <dgm:pt modelId="{120ED7F6-59DB-4A29-BDB7-5AA361B112E8}" type="pres">
      <dgm:prSet presAssocID="{CE832094-405D-4753-8C1E-FCC3134B47D2}" presName="Name37" presStyleLbl="parChTrans1D2" presStyleIdx="1" presStyleCnt="2"/>
      <dgm:spPr/>
    </dgm:pt>
    <dgm:pt modelId="{9277F826-B966-4682-96D4-2F2213728D78}" type="pres">
      <dgm:prSet presAssocID="{5A40143C-DA00-4700-8E35-C6A457C876ED}" presName="hierRoot2" presStyleCnt="0">
        <dgm:presLayoutVars>
          <dgm:hierBranch/>
        </dgm:presLayoutVars>
      </dgm:prSet>
      <dgm:spPr/>
    </dgm:pt>
    <dgm:pt modelId="{CCECED28-A409-4144-9EE3-713A92C3E3DF}" type="pres">
      <dgm:prSet presAssocID="{5A40143C-DA00-4700-8E35-C6A457C876ED}" presName="rootComposite" presStyleCnt="0"/>
      <dgm:spPr/>
    </dgm:pt>
    <dgm:pt modelId="{9B15AC7E-3BC7-458F-82DD-5B07C200CD57}" type="pres">
      <dgm:prSet presAssocID="{5A40143C-DA00-4700-8E35-C6A457C876ED}" presName="rootText" presStyleLbl="node2" presStyleIdx="1" presStyleCnt="2">
        <dgm:presLayoutVars>
          <dgm:chPref val="3"/>
        </dgm:presLayoutVars>
      </dgm:prSet>
      <dgm:spPr/>
    </dgm:pt>
    <dgm:pt modelId="{A1C88BA9-0C0E-4B38-B8DD-DABDAE53B354}" type="pres">
      <dgm:prSet presAssocID="{5A40143C-DA00-4700-8E35-C6A457C876ED}" presName="rootConnector" presStyleLbl="node2" presStyleIdx="1" presStyleCnt="2"/>
      <dgm:spPr/>
    </dgm:pt>
    <dgm:pt modelId="{C75F8492-8BE2-454B-9700-55FA3AA41F12}" type="pres">
      <dgm:prSet presAssocID="{5A40143C-DA00-4700-8E35-C6A457C876ED}" presName="hierChild4" presStyleCnt="0"/>
      <dgm:spPr/>
    </dgm:pt>
    <dgm:pt modelId="{15A9A44A-7690-4DF6-8DEB-B488A179210F}" type="pres">
      <dgm:prSet presAssocID="{5A40143C-DA00-4700-8E35-C6A457C876ED}" presName="hierChild5" presStyleCnt="0"/>
      <dgm:spPr/>
    </dgm:pt>
    <dgm:pt modelId="{4AECC906-F21A-45D0-9402-FE140FA9EBA5}" type="pres">
      <dgm:prSet presAssocID="{64128110-2BC2-4E83-AE3D-7442626E6916}" presName="hierChild3" presStyleCnt="0"/>
      <dgm:spPr/>
    </dgm:pt>
  </dgm:ptLst>
  <dgm:cxnLst>
    <dgm:cxn modelId="{E874A100-93B5-45D8-A33B-63E25C3C47B6}" type="presOf" srcId="{225828B5-AAC3-48E3-8DDE-6E14A1E9FCE8}" destId="{5C67B634-DB68-4653-97A5-5D62FE999B47}" srcOrd="1" destOrd="0" presId="urn:microsoft.com/office/officeart/2005/8/layout/orgChart1#2"/>
    <dgm:cxn modelId="{1BBE810D-FA74-42E1-A436-45B90A5B392D}" type="presOf" srcId="{C17B9AAD-24D5-4918-8EDF-B332210074D7}" destId="{0F89BA2F-7FB1-47A4-B6A8-9A821D15E1C1}" srcOrd="0" destOrd="0" presId="urn:microsoft.com/office/officeart/2005/8/layout/orgChart1#2"/>
    <dgm:cxn modelId="{F5D5AB0F-A595-40BA-8C83-9496F3E41542}" type="presOf" srcId="{5A40143C-DA00-4700-8E35-C6A457C876ED}" destId="{9B15AC7E-3BC7-458F-82DD-5B07C200CD57}" srcOrd="0" destOrd="0" presId="urn:microsoft.com/office/officeart/2005/8/layout/orgChart1#2"/>
    <dgm:cxn modelId="{0601742B-22B1-496E-BD55-A288AD2D2649}" srcId="{64128110-2BC2-4E83-AE3D-7442626E6916}" destId="{225828B5-AAC3-48E3-8DDE-6E14A1E9FCE8}" srcOrd="0" destOrd="0" parTransId="{90F8E70F-E1C5-4691-812A-47839830C40B}" sibTransId="{6E8CAA27-4324-4304-92E5-3562A8011552}"/>
    <dgm:cxn modelId="{0CAA5C42-96DD-441E-98A5-F3EE7FAD4B05}" type="presOf" srcId="{90F8E70F-E1C5-4691-812A-47839830C40B}" destId="{1F968B94-413B-42AE-BA1D-5E5D1F62B58B}" srcOrd="0" destOrd="0" presId="urn:microsoft.com/office/officeart/2005/8/layout/orgChart1#2"/>
    <dgm:cxn modelId="{5067526C-7A36-4ED6-89A7-8AB710BB167A}" type="presOf" srcId="{225828B5-AAC3-48E3-8DDE-6E14A1E9FCE8}" destId="{2FB69221-32D0-434B-B23D-866F77A6B0EE}" srcOrd="0" destOrd="0" presId="urn:microsoft.com/office/officeart/2005/8/layout/orgChart1#2"/>
    <dgm:cxn modelId="{F7E9AA7F-4D2A-4486-8F2B-E5E881EFAF63}" srcId="{C17B9AAD-24D5-4918-8EDF-B332210074D7}" destId="{64128110-2BC2-4E83-AE3D-7442626E6916}" srcOrd="0" destOrd="0" parTransId="{7C4D8020-E6A5-42B0-ACC1-F3A6FF2AC2B4}" sibTransId="{EC14B256-0355-49D6-9784-F21A5D6A7477}"/>
    <dgm:cxn modelId="{B188919E-1A3F-4EEC-9D3E-59EB748B6DA2}" type="presOf" srcId="{CE832094-405D-4753-8C1E-FCC3134B47D2}" destId="{120ED7F6-59DB-4A29-BDB7-5AA361B112E8}" srcOrd="0" destOrd="0" presId="urn:microsoft.com/office/officeart/2005/8/layout/orgChart1#2"/>
    <dgm:cxn modelId="{0F20D9B6-39F3-454B-B812-9832A022691C}" srcId="{64128110-2BC2-4E83-AE3D-7442626E6916}" destId="{5A40143C-DA00-4700-8E35-C6A457C876ED}" srcOrd="1" destOrd="0" parTransId="{CE832094-405D-4753-8C1E-FCC3134B47D2}" sibTransId="{EC33A87A-6F34-4B76-9DE4-77E420B83737}"/>
    <dgm:cxn modelId="{593807C9-A152-46BD-B030-E771EA1A2973}" type="presOf" srcId="{5A40143C-DA00-4700-8E35-C6A457C876ED}" destId="{A1C88BA9-0C0E-4B38-B8DD-DABDAE53B354}" srcOrd="1" destOrd="0" presId="urn:microsoft.com/office/officeart/2005/8/layout/orgChart1#2"/>
    <dgm:cxn modelId="{14A1C1E6-EBD5-4499-9573-FF3E33017C29}" type="presOf" srcId="{64128110-2BC2-4E83-AE3D-7442626E6916}" destId="{3F87A36D-B515-4CB3-9442-512F3C54FBDD}" srcOrd="0" destOrd="0" presId="urn:microsoft.com/office/officeart/2005/8/layout/orgChart1#2"/>
    <dgm:cxn modelId="{694CFBEF-DA47-416D-9013-625FD5637260}" type="presOf" srcId="{64128110-2BC2-4E83-AE3D-7442626E6916}" destId="{C8EA578D-1EEF-4168-811C-C3CB6C46B153}" srcOrd="1" destOrd="0" presId="urn:microsoft.com/office/officeart/2005/8/layout/orgChart1#2"/>
    <dgm:cxn modelId="{AC4B25DA-0AF6-48E7-A0BA-EA6EF261724D}" type="presParOf" srcId="{0F89BA2F-7FB1-47A4-B6A8-9A821D15E1C1}" destId="{43B1D5CD-F6F5-420F-9336-DAB5AE405CAB}" srcOrd="0" destOrd="0" presId="urn:microsoft.com/office/officeart/2005/8/layout/orgChart1#2"/>
    <dgm:cxn modelId="{F7E48A89-86EC-428C-8D0C-7192B3C6317F}" type="presParOf" srcId="{43B1D5CD-F6F5-420F-9336-DAB5AE405CAB}" destId="{87C865EB-D9C7-4E5F-B312-83EF73AB58D0}" srcOrd="0" destOrd="0" presId="urn:microsoft.com/office/officeart/2005/8/layout/orgChart1#2"/>
    <dgm:cxn modelId="{6B8E16C5-934B-446C-B5F1-9DD8783B025D}" type="presParOf" srcId="{87C865EB-D9C7-4E5F-B312-83EF73AB58D0}" destId="{3F87A36D-B515-4CB3-9442-512F3C54FBDD}" srcOrd="0" destOrd="0" presId="urn:microsoft.com/office/officeart/2005/8/layout/orgChart1#2"/>
    <dgm:cxn modelId="{EB90DEBD-CD80-4A5F-B05B-DB566747C164}" type="presParOf" srcId="{87C865EB-D9C7-4E5F-B312-83EF73AB58D0}" destId="{C8EA578D-1EEF-4168-811C-C3CB6C46B153}" srcOrd="1" destOrd="0" presId="urn:microsoft.com/office/officeart/2005/8/layout/orgChart1#2"/>
    <dgm:cxn modelId="{35D3C328-1010-45BB-B40D-2161C806214E}" type="presParOf" srcId="{43B1D5CD-F6F5-420F-9336-DAB5AE405CAB}" destId="{5BEABAEC-9F0C-4E39-AD8E-6628EFFC11DC}" srcOrd="1" destOrd="0" presId="urn:microsoft.com/office/officeart/2005/8/layout/orgChart1#2"/>
    <dgm:cxn modelId="{27E417CC-D70B-4293-BF59-4FD2DE6DCED4}" type="presParOf" srcId="{5BEABAEC-9F0C-4E39-AD8E-6628EFFC11DC}" destId="{1F968B94-413B-42AE-BA1D-5E5D1F62B58B}" srcOrd="0" destOrd="0" presId="urn:microsoft.com/office/officeart/2005/8/layout/orgChart1#2"/>
    <dgm:cxn modelId="{F69EFAD7-C90D-42A3-BBF9-9FEEA9F93D11}" type="presParOf" srcId="{5BEABAEC-9F0C-4E39-AD8E-6628EFFC11DC}" destId="{841E9607-AFA8-422E-867A-D0B9A43F76FB}" srcOrd="1" destOrd="0" presId="urn:microsoft.com/office/officeart/2005/8/layout/orgChart1#2"/>
    <dgm:cxn modelId="{C271B3C1-D924-4636-BDA5-178767789CA3}" type="presParOf" srcId="{841E9607-AFA8-422E-867A-D0B9A43F76FB}" destId="{7848FCCC-0559-4207-BA93-63FF4F6D75CC}" srcOrd="0" destOrd="0" presId="urn:microsoft.com/office/officeart/2005/8/layout/orgChart1#2"/>
    <dgm:cxn modelId="{7062CBE4-6A04-46D1-95CF-952160E9BE06}" type="presParOf" srcId="{7848FCCC-0559-4207-BA93-63FF4F6D75CC}" destId="{2FB69221-32D0-434B-B23D-866F77A6B0EE}" srcOrd="0" destOrd="0" presId="urn:microsoft.com/office/officeart/2005/8/layout/orgChart1#2"/>
    <dgm:cxn modelId="{FE3C1453-2A74-4031-A88F-F24BED7CEF36}" type="presParOf" srcId="{7848FCCC-0559-4207-BA93-63FF4F6D75CC}" destId="{5C67B634-DB68-4653-97A5-5D62FE999B47}" srcOrd="1" destOrd="0" presId="urn:microsoft.com/office/officeart/2005/8/layout/orgChart1#2"/>
    <dgm:cxn modelId="{3297994E-95CE-4B1B-8873-8EA49F7DD986}" type="presParOf" srcId="{841E9607-AFA8-422E-867A-D0B9A43F76FB}" destId="{A7817FA8-C290-4779-9081-B0B52FF24E56}" srcOrd="1" destOrd="0" presId="urn:microsoft.com/office/officeart/2005/8/layout/orgChart1#2"/>
    <dgm:cxn modelId="{F72E6EB5-0DC5-49C9-89D2-EAE6DF467327}" type="presParOf" srcId="{841E9607-AFA8-422E-867A-D0B9A43F76FB}" destId="{782C31C6-F89C-4EE5-9321-5D7AEDFD4677}" srcOrd="2" destOrd="0" presId="urn:microsoft.com/office/officeart/2005/8/layout/orgChart1#2"/>
    <dgm:cxn modelId="{B959E995-598F-4502-9C48-CA2C4E18627B}" type="presParOf" srcId="{5BEABAEC-9F0C-4E39-AD8E-6628EFFC11DC}" destId="{120ED7F6-59DB-4A29-BDB7-5AA361B112E8}" srcOrd="2" destOrd="0" presId="urn:microsoft.com/office/officeart/2005/8/layout/orgChart1#2"/>
    <dgm:cxn modelId="{7CB85E59-3B48-4E28-AB5B-8AC4F7180B82}" type="presParOf" srcId="{5BEABAEC-9F0C-4E39-AD8E-6628EFFC11DC}" destId="{9277F826-B966-4682-96D4-2F2213728D78}" srcOrd="3" destOrd="0" presId="urn:microsoft.com/office/officeart/2005/8/layout/orgChart1#2"/>
    <dgm:cxn modelId="{C9B37099-CBF3-4459-8924-C5B8C39EB4CB}" type="presParOf" srcId="{9277F826-B966-4682-96D4-2F2213728D78}" destId="{CCECED28-A409-4144-9EE3-713A92C3E3DF}" srcOrd="0" destOrd="0" presId="urn:microsoft.com/office/officeart/2005/8/layout/orgChart1#2"/>
    <dgm:cxn modelId="{8B69DE67-5CD2-4553-B02C-B9B2F7AE738F}" type="presParOf" srcId="{CCECED28-A409-4144-9EE3-713A92C3E3DF}" destId="{9B15AC7E-3BC7-458F-82DD-5B07C200CD57}" srcOrd="0" destOrd="0" presId="urn:microsoft.com/office/officeart/2005/8/layout/orgChart1#2"/>
    <dgm:cxn modelId="{C12B40C1-A294-4CCB-8439-E90BC9C95DF2}" type="presParOf" srcId="{CCECED28-A409-4144-9EE3-713A92C3E3DF}" destId="{A1C88BA9-0C0E-4B38-B8DD-DABDAE53B354}" srcOrd="1" destOrd="0" presId="urn:microsoft.com/office/officeart/2005/8/layout/orgChart1#2"/>
    <dgm:cxn modelId="{61353DA1-C4E7-48C0-9783-BC4F775813B6}" type="presParOf" srcId="{9277F826-B966-4682-96D4-2F2213728D78}" destId="{C75F8492-8BE2-454B-9700-55FA3AA41F12}" srcOrd="1" destOrd="0" presId="urn:microsoft.com/office/officeart/2005/8/layout/orgChart1#2"/>
    <dgm:cxn modelId="{AFEF5B2A-E358-4E73-8B38-11DC9DF103E0}" type="presParOf" srcId="{9277F826-B966-4682-96D4-2F2213728D78}" destId="{15A9A44A-7690-4DF6-8DEB-B488A179210F}" srcOrd="2" destOrd="0" presId="urn:microsoft.com/office/officeart/2005/8/layout/orgChart1#2"/>
    <dgm:cxn modelId="{6BF96379-20AA-47F4-94D8-CB9395B545E5}" type="presParOf" srcId="{43B1D5CD-F6F5-420F-9336-DAB5AE405CAB}" destId="{4AECC906-F21A-45D0-9402-FE140FA9EBA5}" srcOrd="2" destOrd="0" presId="urn:microsoft.com/office/officeart/2005/8/layout/orgChart1#2"/>
  </dgm:cxnLst>
  <dgm:bg/>
  <dgm:whole/>
  <dgm:extLst>
    <a:ext uri="http://schemas.microsoft.com/office/drawing/2008/diagram">
      <dsp:dataModelExt xmlns:dsp="http://schemas.microsoft.com/office/drawing/2008/diagram" relId="rId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3568700" cy="1399540"/>
        <a:chOff x="0" y="0"/>
        <a:chExt cx="3568700" cy="1399540"/>
      </a:xfrm>
    </dsp:grpSpPr>
    <dsp:sp modelId="{1F968B94-413B-42AE-BA1D-5E5D1F62B58B}">
      <dsp:nvSpPr>
        <dsp:cNvPr id="5" name="任意多边形 4"/>
        <dsp:cNvSpPr/>
      </dsp:nvSpPr>
      <dsp:spPr bwMode="white">
        <a:xfrm>
          <a:off x="1784350" y="578322"/>
          <a:ext cx="699770" cy="242895"/>
        </a:xfrm>
        <a:custGeom>
          <a:avLst/>
          <a:gdLst/>
          <a:ahLst/>
          <a:cxnLst/>
          <a:pathLst>
            <a:path w="1102" h="383">
              <a:moveTo>
                <a:pt x="0" y="0"/>
              </a:moveTo>
              <a:lnTo>
                <a:pt x="0" y="191"/>
              </a:lnTo>
              <a:lnTo>
                <a:pt x="1102" y="191"/>
              </a:lnTo>
              <a:lnTo>
                <a:pt x="1102" y="383"/>
              </a:lnTo>
            </a:path>
          </a:pathLst>
        </a:custGeom>
      </dsp:spPr>
      <dsp:style>
        <a:lnRef idx="2">
          <a:schemeClr val="accent1">
            <a:shade val="60000"/>
          </a:schemeClr>
        </a:lnRef>
        <a:fillRef idx="0">
          <a:schemeClr val="accent1"/>
        </a:fillRef>
        <a:effectRef idx="0">
          <a:scrgbClr r="0" g="0" b="0"/>
        </a:effectRef>
        <a:fontRef idx="minor"/>
      </dsp:style>
      <dsp:txXfrm>
        <a:off x="1784350" y="578322"/>
        <a:ext cx="699770" cy="242895"/>
      </dsp:txXfrm>
    </dsp:sp>
    <dsp:sp modelId="{120ED7F6-59DB-4A29-BDB7-5AA361B112E8}">
      <dsp:nvSpPr>
        <dsp:cNvPr id="8" name="任意多边形 7"/>
        <dsp:cNvSpPr/>
      </dsp:nvSpPr>
      <dsp:spPr bwMode="white">
        <a:xfrm>
          <a:off x="1084580" y="578322"/>
          <a:ext cx="699770" cy="242895"/>
        </a:xfrm>
        <a:custGeom>
          <a:avLst/>
          <a:gdLst/>
          <a:ahLst/>
          <a:cxnLst/>
          <a:pathLst>
            <a:path w="1102" h="383">
              <a:moveTo>
                <a:pt x="1102" y="0"/>
              </a:moveTo>
              <a:lnTo>
                <a:pt x="1102" y="191"/>
              </a:lnTo>
              <a:lnTo>
                <a:pt x="0" y="191"/>
              </a:lnTo>
              <a:lnTo>
                <a:pt x="0" y="383"/>
              </a:lnTo>
            </a:path>
          </a:pathLst>
        </a:custGeom>
      </dsp:spPr>
      <dsp:style>
        <a:lnRef idx="2">
          <a:schemeClr val="accent1">
            <a:shade val="60000"/>
          </a:schemeClr>
        </a:lnRef>
        <a:fillRef idx="0">
          <a:schemeClr val="accent1"/>
        </a:fillRef>
        <a:effectRef idx="0">
          <a:scrgbClr r="0" g="0" b="0"/>
        </a:effectRef>
        <a:fontRef idx="minor"/>
      </dsp:style>
      <dsp:txXfrm>
        <a:off x="1084580" y="578322"/>
        <a:ext cx="699770" cy="242895"/>
      </dsp:txXfrm>
    </dsp:sp>
    <dsp:sp modelId="{3F87A36D-B515-4CB3-9442-512F3C54FBDD}">
      <dsp:nvSpPr>
        <dsp:cNvPr id="3" name="矩形 2"/>
        <dsp:cNvSpPr/>
      </dsp:nvSpPr>
      <dsp:spPr bwMode="white">
        <a:xfrm>
          <a:off x="1206028" y="0"/>
          <a:ext cx="1156645" cy="578322"/>
        </a:xfrm>
        <a:prstGeom prst="rect">
          <a:avLst/>
        </a:prstGeom>
      </dsp:spPr>
      <dsp:style>
        <a:lnRef idx="0">
          <a:schemeClr val="lt1"/>
        </a:lnRef>
        <a:fillRef idx="3">
          <a:schemeClr val="accent1"/>
        </a:fillRef>
        <a:effectRef idx="3">
          <a:scrgbClr r="0" g="0" b="0"/>
        </a:effectRef>
        <a:fontRef idx="minor">
          <a:schemeClr val="lt1"/>
        </a:fontRef>
      </dsp:style>
      <dsp:txBody>
        <a:bodyPr vert="horz" wrap="square" lIns="8890" tIns="8890" rIns="8890" bIns="889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400"/>
            <a:t>主任（</a:t>
          </a:r>
          <a:r>
            <a:rPr lang="en-US" altLang="zh-CN" sz="1400"/>
            <a:t>1</a:t>
          </a:r>
          <a:r>
            <a:rPr lang="zh-CN" altLang="en-US" sz="1400"/>
            <a:t>人）</a:t>
          </a:r>
          <a:endParaRPr lang="zh-CN" altLang="en-US" sz="1400"/>
        </a:p>
        <a:p>
          <a:pPr lvl="0">
            <a:lnSpc>
              <a:spcPct val="100000"/>
            </a:lnSpc>
            <a:spcBef>
              <a:spcPct val="0"/>
            </a:spcBef>
            <a:spcAft>
              <a:spcPct val="35000"/>
            </a:spcAft>
          </a:pPr>
          <a:endParaRPr lang="en-US" altLang="zh-CN" sz="1400"/>
        </a:p>
      </dsp:txBody>
      <dsp:txXfrm>
        <a:off x="1206028" y="0"/>
        <a:ext cx="1156645" cy="578322"/>
      </dsp:txXfrm>
    </dsp:sp>
    <dsp:sp modelId="{2FB69221-32D0-434B-B23D-866F77A6B0EE}">
      <dsp:nvSpPr>
        <dsp:cNvPr id="6" name="矩形 5"/>
        <dsp:cNvSpPr/>
      </dsp:nvSpPr>
      <dsp:spPr bwMode="white">
        <a:xfrm>
          <a:off x="1905798" y="821218"/>
          <a:ext cx="1156645" cy="578322"/>
        </a:xfrm>
        <a:prstGeom prst="rect">
          <a:avLst/>
        </a:prstGeom>
      </dsp:spPr>
      <dsp:style>
        <a:lnRef idx="0">
          <a:schemeClr val="lt1"/>
        </a:lnRef>
        <a:fillRef idx="3">
          <a:schemeClr val="accent1"/>
        </a:fillRef>
        <a:effectRef idx="3">
          <a:scrgbClr r="0" g="0" b="0"/>
        </a:effectRef>
        <a:fontRef idx="minor">
          <a:schemeClr val="lt1"/>
        </a:fontRef>
      </dsp:style>
      <dsp:txBody>
        <a:bodyPr vert="horz" wrap="square" lIns="8890" tIns="8890" rIns="8890" bIns="889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endParaRPr lang="en-US" altLang="zh-CN" sz="1400"/>
        </a:p>
        <a:p>
          <a:pPr lvl="0">
            <a:lnSpc>
              <a:spcPct val="100000"/>
            </a:lnSpc>
            <a:spcBef>
              <a:spcPct val="0"/>
            </a:spcBef>
            <a:spcAft>
              <a:spcPct val="35000"/>
            </a:spcAft>
          </a:pPr>
          <a:r>
            <a:rPr lang="zh-CN" altLang="en-US" sz="1400"/>
            <a:t>运营服务部                      </a:t>
          </a:r>
          <a:r>
            <a:rPr lang="en-US" altLang="zh-CN" sz="1400"/>
            <a:t>(5</a:t>
          </a:r>
          <a:r>
            <a:rPr lang="zh-CN" altLang="en-US" sz="1400"/>
            <a:t>人）</a:t>
          </a:r>
          <a:endParaRPr lang="zh-CN" altLang="en-US" sz="1400"/>
        </a:p>
        <a:p>
          <a:pPr lvl="0">
            <a:lnSpc>
              <a:spcPct val="100000"/>
            </a:lnSpc>
            <a:spcBef>
              <a:spcPct val="0"/>
            </a:spcBef>
            <a:spcAft>
              <a:spcPct val="35000"/>
            </a:spcAft>
          </a:pPr>
          <a:endParaRPr lang="en-US" altLang="zh-CN" sz="1400"/>
        </a:p>
      </dsp:txBody>
      <dsp:txXfrm>
        <a:off x="1905798" y="821218"/>
        <a:ext cx="1156645" cy="578322"/>
      </dsp:txXfrm>
    </dsp:sp>
    <dsp:sp modelId="{9B15AC7E-3BC7-458F-82DD-5B07C200CD57}">
      <dsp:nvSpPr>
        <dsp:cNvPr id="9" name="矩形 8"/>
        <dsp:cNvSpPr/>
      </dsp:nvSpPr>
      <dsp:spPr bwMode="white">
        <a:xfrm>
          <a:off x="506258" y="821218"/>
          <a:ext cx="1156645" cy="578322"/>
        </a:xfrm>
        <a:prstGeom prst="rect">
          <a:avLst/>
        </a:prstGeom>
      </dsp:spPr>
      <dsp:style>
        <a:lnRef idx="0">
          <a:schemeClr val="lt1"/>
        </a:lnRef>
        <a:fillRef idx="3">
          <a:schemeClr val="accent1"/>
        </a:fillRef>
        <a:effectRef idx="3">
          <a:scrgbClr r="0" g="0" b="0"/>
        </a:effectRef>
        <a:fontRef idx="minor">
          <a:schemeClr val="lt1"/>
        </a:fontRef>
      </dsp:style>
      <dsp:txBody>
        <a:bodyPr vert="horz" wrap="square" lIns="8890" tIns="8890" rIns="8890" bIns="889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endParaRPr lang="zh-CN" sz="1400"/>
        </a:p>
        <a:p>
          <a:pPr lvl="0">
            <a:lnSpc>
              <a:spcPct val="100000"/>
            </a:lnSpc>
            <a:spcBef>
              <a:spcPct val="0"/>
            </a:spcBef>
            <a:spcAft>
              <a:spcPct val="35000"/>
            </a:spcAft>
          </a:pPr>
          <a:endParaRPr lang="zh-CN" sz="1400"/>
        </a:p>
        <a:p>
          <a:pPr lvl="0">
            <a:lnSpc>
              <a:spcPct val="100000"/>
            </a:lnSpc>
            <a:spcBef>
              <a:spcPct val="0"/>
            </a:spcBef>
            <a:spcAft>
              <a:spcPct val="35000"/>
            </a:spcAft>
          </a:pPr>
          <a:endParaRPr lang="zh-CN" sz="1400"/>
        </a:p>
        <a:p>
          <a:pPr lvl="0">
            <a:lnSpc>
              <a:spcPct val="100000"/>
            </a:lnSpc>
            <a:spcBef>
              <a:spcPct val="0"/>
            </a:spcBef>
            <a:spcAft>
              <a:spcPct val="35000"/>
            </a:spcAft>
          </a:pPr>
          <a:endParaRPr lang="en-US" altLang="zh-CN" sz="1400"/>
        </a:p>
        <a:p>
          <a:pPr lvl="0">
            <a:lnSpc>
              <a:spcPct val="100000"/>
            </a:lnSpc>
            <a:spcBef>
              <a:spcPct val="0"/>
            </a:spcBef>
            <a:spcAft>
              <a:spcPct val="35000"/>
            </a:spcAft>
          </a:pPr>
          <a:r>
            <a:rPr lang="zh-CN" sz="1400"/>
            <a:t>综合保障部</a:t>
          </a:r>
          <a:r>
            <a:rPr lang="en-US" altLang="zh-CN" sz="1400"/>
            <a:t>                    </a:t>
          </a:r>
          <a:r>
            <a:rPr lang="zh-CN" altLang="en-US" sz="1400"/>
            <a:t>（</a:t>
          </a:r>
          <a:r>
            <a:rPr lang="en-US" altLang="zh-CN" sz="1400"/>
            <a:t>4</a:t>
          </a:r>
          <a:r>
            <a:rPr lang="zh-CN" altLang="en-US" sz="1400"/>
            <a:t>人）</a:t>
          </a:r>
          <a:endParaRPr lang="zh-CN" sz="1400"/>
        </a:p>
        <a:p>
          <a:pPr lvl="0">
            <a:lnSpc>
              <a:spcPct val="100000"/>
            </a:lnSpc>
            <a:spcBef>
              <a:spcPct val="0"/>
            </a:spcBef>
            <a:spcAft>
              <a:spcPct val="35000"/>
            </a:spcAft>
          </a:pPr>
          <a:endParaRPr sz="6500"/>
        </a:p>
      </dsp:txBody>
      <dsp:txXfrm>
        <a:off x="506258" y="821218"/>
        <a:ext cx="1156645" cy="578322"/>
      </dsp:txXfrm>
    </dsp:sp>
    <dsp:sp modelId="{C8EA578D-1EEF-4168-811C-C3CB6C46B153}">
      <dsp:nvSpPr>
        <dsp:cNvPr id="4" name="矩形 3" hidden="1"/>
        <dsp:cNvSpPr/>
      </dsp:nvSpPr>
      <dsp:spPr>
        <a:xfrm>
          <a:off x="1206028" y="0"/>
          <a:ext cx="231329" cy="578322"/>
        </a:xfrm>
        <a:prstGeom prst="rect">
          <a:avLst/>
        </a:prstGeom>
      </dsp:spPr>
      <dsp:txXfrm>
        <a:off x="1206028" y="0"/>
        <a:ext cx="231329" cy="578322"/>
      </dsp:txXfrm>
    </dsp:sp>
    <dsp:sp modelId="{5C67B634-DB68-4653-97A5-5D62FE999B47}">
      <dsp:nvSpPr>
        <dsp:cNvPr id="7" name="矩形 6" hidden="1"/>
        <dsp:cNvSpPr/>
      </dsp:nvSpPr>
      <dsp:spPr>
        <a:xfrm>
          <a:off x="2831113" y="821218"/>
          <a:ext cx="231329" cy="578322"/>
        </a:xfrm>
        <a:prstGeom prst="rect">
          <a:avLst/>
        </a:prstGeom>
      </dsp:spPr>
      <dsp:txXfrm>
        <a:off x="2831113" y="821218"/>
        <a:ext cx="231329" cy="578322"/>
      </dsp:txXfrm>
    </dsp:sp>
    <dsp:sp modelId="{A1C88BA9-0C0E-4B38-B8DD-DABDAE53B354}">
      <dsp:nvSpPr>
        <dsp:cNvPr id="10" name="矩形 9" hidden="1"/>
        <dsp:cNvSpPr/>
      </dsp:nvSpPr>
      <dsp:spPr>
        <a:xfrm>
          <a:off x="1431573" y="821218"/>
          <a:ext cx="231329" cy="578322"/>
        </a:xfrm>
        <a:prstGeom prst="rect">
          <a:avLst/>
        </a:prstGeom>
      </dsp:spPr>
      <dsp:txXfrm>
        <a:off x="1431573" y="821218"/>
        <a:ext cx="231329" cy="5783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2">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2">
  <dgm:title val=""/>
  <dgm:desc val=""/>
  <dgm:catLst>
    <dgm:cat type="simple" pri="105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3">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callout">
    <dgm:scene3d>
      <a:camera prst="orthographicFront"/>
      <a:lightRig rig="threePt" dir="t"/>
    </dgm:scene3d>
    <dgm:txPr/>
    <dgm:style>
      <a:lnRef idx="1">
        <a:scrgbClr r="0" g="0" b="0"/>
      </a:lnRef>
      <a:fillRef idx="0">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3">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3">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3">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3">
        <a:scrgbClr r="0" g="0" b="0"/>
      </a:effectRef>
      <a:fontRef idx="minor">
        <a:schemeClr val="tx1"/>
      </a:fontRef>
    </dgm:style>
  </dgm:styleLbl>
</dgm:styleDef>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2025-09-26T00:56:00Z</dcterms:created>
  <dc:creator>招标中心</dc:creator>
  <cp:lastModifiedBy>招标中心</cp:lastModifiedBy>
  <dcterms:modified xsi:type="dcterms:W3CDTF">2025-09-26T01:00:55Z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0CA21B102BBF4A11A7157D3AF6E5E206_11</vt:lpwstr>
  </property>
  <property fmtid="{D5CDD505-2E9C-101B-9397-08002B2CF9AE}" pid="4" name="KSOTemplateDocerSaveRecord">
    <vt:lpwstr>eyJoZGlkIjoiODJlM2RmOWQzZmQ0YTJjZTZhNDhjMWIyZmUxNGU2NTAiLCJ1c2VySWQiOiIxNTk1MDQ5MjkwIn0=</vt:lpwstr>
  </property>
</Properties>
</file>